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6C5F" w:rsidRDefault="00FE6C5F" w:rsidP="00FE6C5F">
      <w:pPr>
        <w:jc w:val="right"/>
      </w:pPr>
      <w:r>
        <w:t>Załącznik nr 1</w:t>
      </w:r>
    </w:p>
    <w:p w:rsidR="00FE6C5F" w:rsidRDefault="00C06E19" w:rsidP="00C06E19">
      <w:pPr>
        <w:jc w:val="center"/>
        <w:rPr>
          <w:b/>
          <w:sz w:val="28"/>
          <w:szCs w:val="28"/>
          <w:u w:val="single"/>
        </w:rPr>
      </w:pPr>
      <w:r w:rsidRPr="00C06E19">
        <w:rPr>
          <w:b/>
          <w:sz w:val="28"/>
          <w:szCs w:val="28"/>
          <w:u w:val="single"/>
        </w:rPr>
        <w:t>Przedmiot zamówienia</w:t>
      </w:r>
    </w:p>
    <w:p w:rsidR="00C06E19" w:rsidRPr="00C06E19" w:rsidRDefault="00C06E19" w:rsidP="00C06E19">
      <w:pPr>
        <w:jc w:val="center"/>
        <w:rPr>
          <w:b/>
          <w:sz w:val="28"/>
          <w:szCs w:val="28"/>
          <w:u w:val="single"/>
        </w:rPr>
      </w:pPr>
      <w:bookmarkStart w:id="0" w:name="_GoBack"/>
      <w:bookmarkEnd w:id="0"/>
    </w:p>
    <w:p w:rsidR="00E04D85" w:rsidRDefault="00E04D85" w:rsidP="00E04D85">
      <w:r w:rsidRPr="00E04D85">
        <w:t>71314300-5</w:t>
      </w:r>
      <w:r>
        <w:t xml:space="preserve"> </w:t>
      </w:r>
      <w:r w:rsidRPr="00E04D85">
        <w:t>Usługi doradcze w zakresie wydajności energetycznej</w:t>
      </w:r>
    </w:p>
    <w:p w:rsidR="00AD4651" w:rsidRDefault="00AD4651" w:rsidP="00AD4651">
      <w:pPr>
        <w:spacing w:after="0"/>
      </w:pPr>
      <w:r>
        <w:t>Rozeznanie rynku dla zadania polegającego na opracowaniu audytów energetycznych dla budynków użyteczności publicznej położonych na terenie gminy Daleszyce:</w:t>
      </w:r>
    </w:p>
    <w:p w:rsidR="00AD4651" w:rsidRDefault="00AD4651" w:rsidP="00AD4651">
      <w:pPr>
        <w:pStyle w:val="Akapitzlist"/>
        <w:numPr>
          <w:ilvl w:val="0"/>
          <w:numId w:val="1"/>
        </w:numPr>
        <w:spacing w:after="0"/>
      </w:pPr>
      <w:r>
        <w:t>Szkoła Podstawowa w Brzechowie (Brzechów 41, 26-021 Daleszyce – dz.</w:t>
      </w:r>
      <w:r w:rsidR="007B662B">
        <w:t xml:space="preserve"> nr ew. 273</w:t>
      </w:r>
      <w:r>
        <w:t>),</w:t>
      </w:r>
    </w:p>
    <w:p w:rsidR="007B662B" w:rsidRDefault="007B662B" w:rsidP="007B662B">
      <w:pPr>
        <w:pStyle w:val="Akapitzlist"/>
        <w:spacing w:after="0"/>
      </w:pPr>
      <w:r>
        <w:t>Budynek parterowy, w kształcie prostokąta bez podpiwniczenia ze stropem nieużytkowym, dach dwuspadowy, powierzchnia ~480m</w:t>
      </w:r>
      <w:r w:rsidRPr="007B662B">
        <w:rPr>
          <w:vertAlign w:val="superscript"/>
        </w:rPr>
        <w:t>2</w:t>
      </w:r>
    </w:p>
    <w:p w:rsidR="0073771B" w:rsidRDefault="00AD4651" w:rsidP="00AD4651">
      <w:pPr>
        <w:pStyle w:val="Akapitzlist"/>
        <w:numPr>
          <w:ilvl w:val="0"/>
          <w:numId w:val="1"/>
        </w:numPr>
      </w:pPr>
      <w:r>
        <w:t>Szkoła Podstawowa w Szczecnie bud. B (</w:t>
      </w:r>
      <w:r w:rsidRPr="00AD4651">
        <w:t>Szczecno 172 26-015 Pierzchnica</w:t>
      </w:r>
      <w:r>
        <w:t xml:space="preserve"> – dz. nr ew. 728/52).</w:t>
      </w:r>
    </w:p>
    <w:p w:rsidR="007B662B" w:rsidRDefault="007B662B" w:rsidP="007B662B">
      <w:pPr>
        <w:pStyle w:val="Akapitzlist"/>
      </w:pPr>
      <w:r>
        <w:t>Budynek w kształcie wielokąta, częściowo podpiwniczony, piętrowy, dach wielospadowy, powierzchnia użytkowa ~1400m</w:t>
      </w:r>
      <w:r w:rsidRPr="007B662B">
        <w:rPr>
          <w:vertAlign w:val="superscript"/>
        </w:rPr>
        <w:t>2</w:t>
      </w:r>
    </w:p>
    <w:p w:rsidR="0064668E" w:rsidRDefault="0064668E" w:rsidP="0064668E">
      <w:pPr>
        <w:jc w:val="both"/>
      </w:pPr>
      <w:r>
        <w:t>Dla przedmiotowych budynków obowiązuje MPZP, żaden z nich nie jest objęty opieką konserwatorską.</w:t>
      </w:r>
    </w:p>
    <w:p w:rsidR="009D4BB4" w:rsidRPr="009D4BB4" w:rsidRDefault="009D4BB4" w:rsidP="009D4BB4">
      <w:pPr>
        <w:spacing w:after="0"/>
        <w:jc w:val="both"/>
        <w:rPr>
          <w:u w:val="single"/>
        </w:rPr>
      </w:pPr>
      <w:r w:rsidRPr="009D4BB4">
        <w:rPr>
          <w:u w:val="single"/>
        </w:rPr>
        <w:t>Definicje i cele:</w:t>
      </w:r>
    </w:p>
    <w:p w:rsidR="009D4BB4" w:rsidRDefault="009D4BB4" w:rsidP="0064668E">
      <w:pPr>
        <w:jc w:val="both"/>
      </w:pPr>
      <w:r w:rsidRPr="009D4BB4">
        <w:t>Audyt energetyczny zgodnie z art. 3 Dyrektywy ESD L11 jest to systematyczna procedura pozwalająca na zdobycie odpowiedniej wiedzy o profilu istniejącego zużycia energii danego budynku lub zespołu budynków, która określa i kwantyfikuje możliwości realizacji inwestycji prowadzących do</w:t>
      </w:r>
      <w:r>
        <w:t xml:space="preserve"> </w:t>
      </w:r>
      <w:r w:rsidRPr="009D4BB4">
        <w:t xml:space="preserve">uzyskania opłacalnych ekonomicznie oszczędności energetycznych oraz informuje o uzyskanych wynikach analiz w tym zakresie. Definicja powyższa wskazuje, że audyt poza funkcja identyfikacji potencjału </w:t>
      </w:r>
      <w:r>
        <w:br/>
      </w:r>
      <w:r w:rsidRPr="009D4BB4">
        <w:t>w zakresie możliwości zmniejszenia zużycia energii, przy</w:t>
      </w:r>
      <w:r>
        <w:t xml:space="preserve"> </w:t>
      </w:r>
      <w:r w:rsidRPr="009D4BB4">
        <w:t>zachowaniu parametrów użytkowych i funkcji obiektu budowlanego, instalacji energetycznej, dostarcza również informacji o efektywności ekonomicznej przedsięwzięć usprawniających, służących poprawie efektywności energetycznej. Przedsięwzięcia hardziej złożone, składające się w rzeczywistości z wielu przedsięwzięć wymagają wykonania audytu pełnego bilansowego.</w:t>
      </w:r>
    </w:p>
    <w:p w:rsidR="009D4BB4" w:rsidRDefault="009D4BB4" w:rsidP="0064668E">
      <w:pPr>
        <w:jc w:val="both"/>
      </w:pPr>
      <w:r w:rsidRPr="009D4BB4">
        <w:t>Audyt energetyczny budynku ma na celu wskazanie możliwych do realizacji usprawnień w zakresie</w:t>
      </w:r>
      <w:r>
        <w:t xml:space="preserve"> </w:t>
      </w:r>
      <w:r w:rsidRPr="009D4BB4">
        <w:t xml:space="preserve">zmniejszenia zapotrzebowania na energie Energia, o której mowa powyżej dotyczy zarówno energii: na cele ogrzewania (zapotrzebowanie, na która można zmniejszyć np. poprzez zwiększenie izolacyjności przegród, czy wprowadzając ogrzewanie strefowe), jak i chłodzenia, osuszania </w:t>
      </w:r>
      <w:r>
        <w:br/>
      </w:r>
      <w:r w:rsidRPr="009D4BB4">
        <w:t>i nawilżania powietrza (klimatyzacji), do zapewnienia właściwej wentylacji, przygotowania ciepłej wody oraz pokrycia zapotrzebowania na energie na potrzeby świetlenia. Audyt obejmuje pełną analizę wszystkich możliwych do realizacji usprawnień zmniejszających zapotrzebowanie na energie poprzez</w:t>
      </w:r>
      <w:r>
        <w:t xml:space="preserve"> </w:t>
      </w:r>
      <w:r w:rsidRPr="009D4BB4">
        <w:t>wykorzystanie najlepszych praktyk</w:t>
      </w:r>
      <w:r>
        <w:t xml:space="preserve"> w </w:t>
      </w:r>
      <w:r w:rsidRPr="009D4BB4">
        <w:t>dziedzinie rozwiązań energooszczędnych. Wskazuje rozwiązania optymalne, w tym również zawiera a</w:t>
      </w:r>
      <w:r>
        <w:t xml:space="preserve">nalizę możliwości zastosowania </w:t>
      </w:r>
      <w:r w:rsidRPr="009D4BB4">
        <w:t>odnawialnych źródeł energii</w:t>
      </w:r>
      <w:r>
        <w:t>, przy czym obowiązuje</w:t>
      </w:r>
      <w:r w:rsidRPr="009D4BB4">
        <w:t xml:space="preserve"> z</w:t>
      </w:r>
      <w:r>
        <w:t>asada „r</w:t>
      </w:r>
      <w:r w:rsidRPr="009D4BB4">
        <w:t>acjonalnego podejścia”, czyli wykluczającego sytuacje, w których stosowanie niektórych rozwiązań nie ma sensu z ekonomicznego, czy technologicznego punktu widzenia.</w:t>
      </w:r>
    </w:p>
    <w:p w:rsidR="009D4BB4" w:rsidRDefault="009D4BB4" w:rsidP="0064668E">
      <w:pPr>
        <w:jc w:val="both"/>
      </w:pPr>
      <w:r w:rsidRPr="009D4BB4">
        <w:lastRenderedPageBreak/>
        <w:t xml:space="preserve">Ogólne wytyczne wykonania audytów energetycznych Każdy audyt energetyczny, niezależnie </w:t>
      </w:r>
      <w:r w:rsidR="00FE6C5F">
        <w:br/>
      </w:r>
      <w:r w:rsidRPr="009D4BB4">
        <w:t>od rodzaju i przeznaczenia powinien zawierać elementy umożliwiające dokonanie obiektywnej oceny zasadności realizacji usprawnień modernizacyjnych prowadzących do osiągnięcia efektu energetycznego i ekologicznego oraz niezbędne informacje i dane liczbowe umożliwiające ocenę oraz weryfikacje wielkości tego efektu w wyniku zastosowanych środków poprawy efektywności energetycznej, jak również w zależności od uzgodnień z inwestorem, analizę eko</w:t>
      </w:r>
      <w:r>
        <w:t>nomiczna zalecanych usprawnień.</w:t>
      </w:r>
    </w:p>
    <w:p w:rsidR="009D4BB4" w:rsidRDefault="009D4BB4" w:rsidP="0064668E">
      <w:pPr>
        <w:jc w:val="both"/>
      </w:pPr>
      <w:r w:rsidRPr="009D4BB4">
        <w:t xml:space="preserve">Analiza możliwości usprawnień. Zaleca się, aby w audycie zostały poddane analizie wszystkie dopuszczalne z technicznego punktu widzenia i racjonalnie uzasadnione możliwości usprawnień  </w:t>
      </w:r>
      <w:r>
        <w:br/>
      </w:r>
      <w:r w:rsidRPr="009D4BB4">
        <w:t>w  zakresie zmniejszenia zapotrzebowania na energie w każdym obszarze jej użytkowania. Podejście takie jest najkorzystniejsze z uwagi na możliwość identyfikacji i realizacji w pierwszej kolejności usprawnień przynoszących największe</w:t>
      </w:r>
      <w:r>
        <w:t xml:space="preserve"> korzyści energetyczne,</w:t>
      </w:r>
      <w:r w:rsidRPr="009D4BB4">
        <w:t xml:space="preserve"> ekonomiczne i ekologiczne.  Analizowane przedsięwzięcia</w:t>
      </w:r>
      <w:r>
        <w:t xml:space="preserve"> powinny być</w:t>
      </w:r>
      <w:r w:rsidRPr="009D4BB4">
        <w:t xml:space="preserve"> </w:t>
      </w:r>
      <w:r>
        <w:t>rozwiązaniami</w:t>
      </w:r>
      <w:r w:rsidRPr="009D4BB4">
        <w:t xml:space="preserve"> sprawdzonymi, powodującymi znaczący wzrost efektywności energetycznej, o udowodnionej skuteczności, określonej na  podstawie  ogólnodostępnych  i/lub  specjalistycznych  opracowań branżowych, w tym w szczególności </w:t>
      </w:r>
      <w:r w:rsidR="00FE6C5F">
        <w:br/>
      </w:r>
      <w:r w:rsidRPr="009D4BB4">
        <w:t>na podstawie dostępnego zbioru opracowań na temat najlepszych dostępnych technologii (BAT) lub dostępnych w inny sposób baz danych na temat dobrych praktyk.</w:t>
      </w:r>
    </w:p>
    <w:p w:rsidR="00C52205" w:rsidRDefault="00AD4651" w:rsidP="009D4BB4">
      <w:pPr>
        <w:jc w:val="both"/>
      </w:pPr>
      <w:r>
        <w:t xml:space="preserve">Głównym zadaniem audytu energetycznego ma być określenie parametrów technicznych, </w:t>
      </w:r>
      <w:r w:rsidR="00C52205">
        <w:t>e</w:t>
      </w:r>
      <w:r>
        <w:t xml:space="preserve">konomicznych i efektu ekologicznego oraz podanie wartości wskaźnika rezultatu, tj. ilości zaoszczędzonej energii w wyniku realizacji projektu termomodernizacyjnego – minimalna wartość tego współczynnika powinna </w:t>
      </w:r>
      <w:r w:rsidR="006E30D5">
        <w:t>być zgodna z zasadami programu</w:t>
      </w:r>
      <w:r>
        <w:t xml:space="preserve"> (należy tak dobrać zakres prac </w:t>
      </w:r>
      <w:r w:rsidR="006E30D5">
        <w:br/>
      </w:r>
      <w:r>
        <w:t>i technologię modernizacji, aby współczynnik taki został osiągnięty)</w:t>
      </w:r>
      <w:r w:rsidR="00C52205">
        <w:t>.</w:t>
      </w:r>
    </w:p>
    <w:p w:rsidR="00C52205" w:rsidRDefault="00AD4651" w:rsidP="009D4BB4">
      <w:pPr>
        <w:jc w:val="both"/>
      </w:pPr>
      <w:r>
        <w:t xml:space="preserve">Audyty dotyczą przyszłych przedsięwzięć z zakresu termomodernizacji budynków, w tym zmiany wyposażenia obiektów w urządzenia o najwyższych, uzasadnionych ekonomicznie standardach efektywności energetycznej związanych bezpośrednio z prowadzoną termomodernizacją obiektów, </w:t>
      </w:r>
      <w:r w:rsidR="00C52205">
        <w:br/>
      </w:r>
      <w:r>
        <w:t>w szczególności: ocieplenie obiektu (docieplenie ścian, stropów, poddaszy, dachu</w:t>
      </w:r>
      <w:r w:rsidR="00A51A57">
        <w:t>, ścian piwnic</w:t>
      </w:r>
      <w:r w:rsidR="00963F47">
        <w:t>/fundamentowych</w:t>
      </w:r>
      <w:r>
        <w:t xml:space="preserve">), wymiana </w:t>
      </w:r>
      <w:r w:rsidR="00A51A57">
        <w:t>okien</w:t>
      </w:r>
      <w:r>
        <w:t>, wymiana drzwi zewnętrznych,</w:t>
      </w:r>
    </w:p>
    <w:p w:rsidR="00AD4651" w:rsidRDefault="009D4BB4" w:rsidP="009D4BB4">
      <w:pPr>
        <w:jc w:val="both"/>
      </w:pPr>
      <w:r>
        <w:t xml:space="preserve"> </w:t>
      </w:r>
      <w:r w:rsidR="00A51A57">
        <w:t>P</w:t>
      </w:r>
      <w:r w:rsidR="00AD4651">
        <w:t>rzebudowa systemów grzewczych (wraz z wymianą źródła ciepła</w:t>
      </w:r>
      <w:r w:rsidR="0064668E">
        <w:t xml:space="preserve"> - biomasa</w:t>
      </w:r>
      <w:r w:rsidR="00AD4651">
        <w:t xml:space="preserve">), zastosowanie systemów zarządzania energią </w:t>
      </w:r>
      <w:r w:rsidR="006E30D5">
        <w:t xml:space="preserve">w budynkach (energia cieplna, </w:t>
      </w:r>
      <w:r w:rsidR="00AD4651">
        <w:t>przygotowanie c.w.u.)</w:t>
      </w:r>
      <w:r w:rsidR="00C52205">
        <w:t xml:space="preserve">, </w:t>
      </w:r>
      <w:r w:rsidR="0064668E">
        <w:t xml:space="preserve">modernizacja systemu energii poprzez </w:t>
      </w:r>
      <w:r w:rsidR="00C52205">
        <w:t>wykonanie instalacji fotowoltaicznych</w:t>
      </w:r>
      <w:r w:rsidR="00AD4651">
        <w:t>.</w:t>
      </w:r>
    </w:p>
    <w:p w:rsidR="0050495C" w:rsidRDefault="006E30D5" w:rsidP="009D4BB4">
      <w:pPr>
        <w:jc w:val="both"/>
      </w:pPr>
      <w:r>
        <w:t>Audyt bezwzględnie musi posiadać przewidywany stopień redukcji stopnia zanieczyszczeń substancjami stałymi, pyłami</w:t>
      </w:r>
      <w:r w:rsidR="00963F47">
        <w:t>, gazami cieplarnianymi</w:t>
      </w:r>
      <w:r>
        <w:t xml:space="preserve"> itp.</w:t>
      </w:r>
    </w:p>
    <w:p w:rsidR="0050495C" w:rsidRDefault="0050495C" w:rsidP="006E30D5">
      <w:pPr>
        <w:jc w:val="both"/>
      </w:pPr>
      <w:r w:rsidRPr="0050495C">
        <w:t xml:space="preserve">Zamawiający wymaga, aby wszelkie koszty prac, również odtworzeniowych, </w:t>
      </w:r>
      <w:r w:rsidR="00534CCA">
        <w:t>zostały</w:t>
      </w:r>
      <w:r>
        <w:t xml:space="preserve"> skalkulowane przez Audytorów.</w:t>
      </w:r>
    </w:p>
    <w:p w:rsidR="000863AA" w:rsidRDefault="000863AA" w:rsidP="006E30D5">
      <w:pPr>
        <w:jc w:val="both"/>
      </w:pPr>
      <w:r>
        <w:t>Sporządzona dokumentacja będzie stanowiła podstawę</w:t>
      </w:r>
      <w:r w:rsidR="004C6DD8">
        <w:t xml:space="preserve"> do sporządzenia programu </w:t>
      </w:r>
      <w:proofErr w:type="spellStart"/>
      <w:r w:rsidR="004C6DD8">
        <w:t>funkcjonalno</w:t>
      </w:r>
      <w:proofErr w:type="spellEnd"/>
      <w:r w:rsidR="004C6DD8">
        <w:t xml:space="preserve"> – użytkowego i do ogłoszenia na jej podstawie postepowania przetargowego na wykonanie prac termomodernizacyjnych </w:t>
      </w:r>
      <w:r w:rsidR="00566422">
        <w:t xml:space="preserve">w/w obiektów </w:t>
      </w:r>
      <w:r w:rsidR="004C6DD8">
        <w:t xml:space="preserve">w formule zaprojektuj – wybuduj. </w:t>
      </w:r>
    </w:p>
    <w:p w:rsidR="00AD4651" w:rsidRDefault="00AD4651" w:rsidP="00F71A99">
      <w:pPr>
        <w:jc w:val="both"/>
      </w:pPr>
      <w:r>
        <w:lastRenderedPageBreak/>
        <w:t xml:space="preserve">Wykonawca powinien przewidzieć wszelkie prace niezbędne do wykonania </w:t>
      </w:r>
      <w:r w:rsidR="00963F47">
        <w:t>audytów</w:t>
      </w:r>
      <w:r>
        <w:t xml:space="preserve">, także </w:t>
      </w:r>
      <w:r w:rsidR="00FE6C5F">
        <w:br/>
      </w:r>
      <w:r>
        <w:t xml:space="preserve">te niewymienione przez Zamawiającego. </w:t>
      </w:r>
      <w:r w:rsidR="0050495C">
        <w:t xml:space="preserve">W cenie audytów Wykonawca powinien uwzględnić konieczność wykonania niezbędnych inwentaryzacji wyłącznie dla potrzeb wykonania audytów </w:t>
      </w:r>
      <w:r w:rsidR="00534CCA">
        <w:t>energetycznych, ponieważ</w:t>
      </w:r>
      <w:r w:rsidR="00F71A99">
        <w:t xml:space="preserve"> </w:t>
      </w:r>
      <w:r w:rsidR="00F71A99" w:rsidRPr="00F71A99">
        <w:t>Zamawiający nie posiada żadnej dokumentacji technicznej budynków przewidzi</w:t>
      </w:r>
      <w:r w:rsidR="00F71A99">
        <w:t xml:space="preserve">anych do przeprowadzenia audytu w </w:t>
      </w:r>
      <w:r w:rsidR="00534CCA">
        <w:t>związku, z czym</w:t>
      </w:r>
      <w:r w:rsidR="00F71A99">
        <w:t xml:space="preserve"> zaleca się przeprowadzenie wizji lokalnej.</w:t>
      </w:r>
    </w:p>
    <w:p w:rsidR="00AD4651" w:rsidRDefault="00AD4651" w:rsidP="00C52205">
      <w:pPr>
        <w:spacing w:after="0"/>
        <w:jc w:val="both"/>
      </w:pPr>
      <w:r>
        <w:t>Wynagrodzenie za wykonanie przedmiotowego zadania winno obejmować wszystkie koszty i ryzyko związane z wykonaniem przedmiotowego zadania bez możliwości negocjacji ceny w trakcie realizacji.</w:t>
      </w:r>
    </w:p>
    <w:p w:rsidR="00C52205" w:rsidRDefault="00C52205" w:rsidP="00C52205">
      <w:pPr>
        <w:spacing w:after="0"/>
        <w:jc w:val="both"/>
      </w:pPr>
    </w:p>
    <w:p w:rsidR="00C52205" w:rsidRDefault="00C52205" w:rsidP="00C52205">
      <w:pPr>
        <w:spacing w:after="0"/>
        <w:jc w:val="both"/>
      </w:pPr>
      <w:r>
        <w:t>Powyższy projekt jest współfinansowany ze środków RPOWŚ 2014-2020, Działanie 6.1</w:t>
      </w:r>
      <w:r w:rsidR="00E95803">
        <w:t xml:space="preserve"> </w:t>
      </w:r>
      <w:r>
        <w:t xml:space="preserve">Efektywność energetyczna w sektorze publicznym – ZIT, Oś 6. Rozwój miast wspieranie efektywności energetycznej, inteligentnego zarządzania energią i wykorzystywania odnawialnych źródeł energii </w:t>
      </w:r>
      <w:r>
        <w:br/>
        <w:t xml:space="preserve">w infrastrukturze publicznej, w tym w budynkach publicznych i sektorze mieszkaniowym. </w:t>
      </w:r>
      <w:r w:rsidRPr="00A51A57">
        <w:rPr>
          <w:b/>
        </w:rPr>
        <w:t xml:space="preserve">W związku </w:t>
      </w:r>
      <w:r w:rsidR="00FE6C5F">
        <w:rPr>
          <w:b/>
        </w:rPr>
        <w:br/>
      </w:r>
      <w:r w:rsidRPr="00A51A57">
        <w:rPr>
          <w:b/>
        </w:rPr>
        <w:t xml:space="preserve">z powyższym </w:t>
      </w:r>
      <w:r w:rsidR="00534CCA">
        <w:rPr>
          <w:b/>
        </w:rPr>
        <w:t>audyty</w:t>
      </w:r>
      <w:r w:rsidRPr="00A51A57">
        <w:rPr>
          <w:b/>
        </w:rPr>
        <w:t xml:space="preserve"> muszę być zgodne z wytycznymi Instytucji Zarządzającej oraz Planem Gospodarki Niskoemisyjnej, a także obowiązującymi przepisami i Normami.</w:t>
      </w:r>
    </w:p>
    <w:p w:rsidR="0050495C" w:rsidRDefault="0050495C" w:rsidP="00C52205">
      <w:pPr>
        <w:spacing w:after="0"/>
        <w:jc w:val="both"/>
      </w:pPr>
    </w:p>
    <w:p w:rsidR="0050495C" w:rsidRDefault="00534CCA" w:rsidP="00C52205">
      <w:pPr>
        <w:spacing w:after="0"/>
        <w:jc w:val="both"/>
      </w:pPr>
      <w:r>
        <w:t xml:space="preserve">Termin realizacji zamówienia: maksymalnie </w:t>
      </w:r>
      <w:r w:rsidR="000863AA">
        <w:t>14 dni</w:t>
      </w:r>
      <w:r>
        <w:t xml:space="preserve"> od dnia podpisania umowy.</w:t>
      </w:r>
    </w:p>
    <w:p w:rsidR="00534CCA" w:rsidRDefault="00534CCA" w:rsidP="00C52205">
      <w:pPr>
        <w:spacing w:after="0"/>
        <w:jc w:val="both"/>
      </w:pPr>
    </w:p>
    <w:p w:rsidR="00534CCA" w:rsidRDefault="00534CCA" w:rsidP="00C52205">
      <w:pPr>
        <w:spacing w:after="0"/>
        <w:jc w:val="both"/>
      </w:pPr>
      <w:r>
        <w:t>Należy wycenić wykonanie audytu w dwóch egzemplarzach wersji papierowej oraz w wersji elektronicznej pdf.</w:t>
      </w:r>
    </w:p>
    <w:sectPr w:rsidR="00534CCA">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133A" w:rsidRDefault="00FD133A" w:rsidP="00A51A57">
      <w:pPr>
        <w:spacing w:after="0" w:line="240" w:lineRule="auto"/>
      </w:pPr>
      <w:r>
        <w:separator/>
      </w:r>
    </w:p>
  </w:endnote>
  <w:endnote w:type="continuationSeparator" w:id="0">
    <w:p w:rsidR="00FD133A" w:rsidRDefault="00FD133A" w:rsidP="00A51A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133A" w:rsidRDefault="00FD133A" w:rsidP="00A51A57">
      <w:pPr>
        <w:spacing w:after="0" w:line="240" w:lineRule="auto"/>
      </w:pPr>
      <w:r>
        <w:separator/>
      </w:r>
    </w:p>
  </w:footnote>
  <w:footnote w:type="continuationSeparator" w:id="0">
    <w:p w:rsidR="00FD133A" w:rsidRDefault="00FD133A" w:rsidP="00A51A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526" w:type="dxa"/>
      <w:tblCellMar>
        <w:bottom w:w="113" w:type="dxa"/>
      </w:tblCellMar>
      <w:tblLook w:val="04A0" w:firstRow="1" w:lastRow="0" w:firstColumn="1" w:lastColumn="0" w:noHBand="0" w:noVBand="1"/>
    </w:tblPr>
    <w:tblGrid>
      <w:gridCol w:w="4210"/>
      <w:gridCol w:w="2240"/>
      <w:gridCol w:w="3076"/>
    </w:tblGrid>
    <w:tr w:rsidR="00A51A57" w:rsidRPr="00A51A57" w:rsidTr="00EC2D16">
      <w:trPr>
        <w:trHeight w:val="1129"/>
      </w:trPr>
      <w:tc>
        <w:tcPr>
          <w:tcW w:w="4210" w:type="dxa"/>
          <w:vAlign w:val="center"/>
        </w:tcPr>
        <w:p w:rsidR="00A51A57" w:rsidRPr="00A51A57" w:rsidRDefault="00A51A57" w:rsidP="00A51A57">
          <w:pPr>
            <w:pStyle w:val="Nagwek"/>
            <w:rPr>
              <w:i/>
            </w:rPr>
          </w:pPr>
          <w:r w:rsidRPr="00A51A57">
            <w:rPr>
              <w:i/>
              <w:noProof/>
              <w:lang w:eastAsia="pl-PL"/>
            </w:rPr>
            <w:drawing>
              <wp:inline distT="0" distB="0" distL="0" distR="0" wp14:anchorId="7F80B26F" wp14:editId="074A3C92">
                <wp:extent cx="1133475" cy="476250"/>
                <wp:effectExtent l="0" t="0" r="0" b="0"/>
                <wp:docPr id="8" name="Obraz 8" descr="Logo Funduszy Europejski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Funduszy Europejski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3475" cy="476250"/>
                        </a:xfrm>
                        <a:prstGeom prst="rect">
                          <a:avLst/>
                        </a:prstGeom>
                        <a:noFill/>
                        <a:ln>
                          <a:noFill/>
                        </a:ln>
                      </pic:spPr>
                    </pic:pic>
                  </a:graphicData>
                </a:graphic>
              </wp:inline>
            </w:drawing>
          </w:r>
          <w:r w:rsidRPr="00A51A57">
            <w:rPr>
              <w:i/>
              <w:noProof/>
              <w:lang w:eastAsia="pl-PL"/>
            </w:rPr>
            <w:drawing>
              <wp:inline distT="0" distB="0" distL="0" distR="0" wp14:anchorId="46026469" wp14:editId="64D2F2E6">
                <wp:extent cx="1304925" cy="504825"/>
                <wp:effectExtent l="0" t="0" r="0" b="0"/>
                <wp:docPr id="7" name="Obraz 7" descr="rpo_ws_znaki_promocyjne_barwy_r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rpo_ws_znaki_promocyjne_barwy_rp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04925" cy="504825"/>
                        </a:xfrm>
                        <a:prstGeom prst="rect">
                          <a:avLst/>
                        </a:prstGeom>
                        <a:noFill/>
                        <a:ln>
                          <a:noFill/>
                        </a:ln>
                      </pic:spPr>
                    </pic:pic>
                  </a:graphicData>
                </a:graphic>
              </wp:inline>
            </w:drawing>
          </w:r>
        </w:p>
      </w:tc>
      <w:tc>
        <w:tcPr>
          <w:tcW w:w="2240" w:type="dxa"/>
          <w:vAlign w:val="center"/>
        </w:tcPr>
        <w:p w:rsidR="00A51A57" w:rsidRPr="00A51A57" w:rsidRDefault="00A51A57" w:rsidP="00A51A57">
          <w:pPr>
            <w:pStyle w:val="Nagwek"/>
            <w:rPr>
              <w:i/>
            </w:rPr>
          </w:pPr>
          <w:r w:rsidRPr="00A51A57">
            <w:rPr>
              <w:i/>
            </w:rPr>
            <w:t xml:space="preserve">       </w:t>
          </w:r>
          <w:r w:rsidRPr="00A51A57">
            <w:rPr>
              <w:i/>
              <w:noProof/>
              <w:lang w:eastAsia="pl-PL"/>
            </w:rPr>
            <w:drawing>
              <wp:inline distT="0" distB="0" distL="0" distR="0" wp14:anchorId="0BBD4AD5" wp14:editId="77EC88B8">
                <wp:extent cx="904875" cy="428625"/>
                <wp:effectExtent l="0" t="0" r="0" b="0"/>
                <wp:docPr id="6" name="Obraz 6" descr="Herb województwa Świętokrzy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Herb województwa Świętokrzyskie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04875" cy="428625"/>
                        </a:xfrm>
                        <a:prstGeom prst="rect">
                          <a:avLst/>
                        </a:prstGeom>
                        <a:noFill/>
                        <a:ln>
                          <a:noFill/>
                        </a:ln>
                      </pic:spPr>
                    </pic:pic>
                  </a:graphicData>
                </a:graphic>
              </wp:inline>
            </w:drawing>
          </w:r>
          <w:r w:rsidRPr="00A51A57">
            <w:rPr>
              <w:i/>
            </w:rPr>
            <w:t xml:space="preserve">    </w:t>
          </w:r>
        </w:p>
      </w:tc>
      <w:tc>
        <w:tcPr>
          <w:tcW w:w="3076" w:type="dxa"/>
          <w:vAlign w:val="center"/>
        </w:tcPr>
        <w:p w:rsidR="00A51A57" w:rsidRPr="00A51A57" w:rsidRDefault="00A51A57" w:rsidP="00A51A57">
          <w:pPr>
            <w:pStyle w:val="Nagwek"/>
            <w:rPr>
              <w:i/>
            </w:rPr>
          </w:pPr>
          <w:r w:rsidRPr="00A51A57">
            <w:rPr>
              <w:i/>
              <w:noProof/>
              <w:lang w:eastAsia="pl-PL"/>
            </w:rPr>
            <w:drawing>
              <wp:inline distT="0" distB="0" distL="0" distR="0" wp14:anchorId="4845F5A7" wp14:editId="3EEDD66B">
                <wp:extent cx="1590675" cy="485775"/>
                <wp:effectExtent l="0" t="0" r="0" b="0"/>
                <wp:docPr id="5" name="Obraz 5" descr="Logo Europejskiego Funduszu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Logo Europejskiego Funduszu Rozwoju Regionalnego"/>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90675" cy="485775"/>
                        </a:xfrm>
                        <a:prstGeom prst="rect">
                          <a:avLst/>
                        </a:prstGeom>
                        <a:noFill/>
                        <a:ln>
                          <a:noFill/>
                        </a:ln>
                      </pic:spPr>
                    </pic:pic>
                  </a:graphicData>
                </a:graphic>
              </wp:inline>
            </w:drawing>
          </w:r>
        </w:p>
      </w:tc>
    </w:tr>
  </w:tbl>
  <w:p w:rsidR="00A51A57" w:rsidRDefault="00A51A5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087664"/>
    <w:multiLevelType w:val="hybridMultilevel"/>
    <w:tmpl w:val="56FA0E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651"/>
    <w:rsid w:val="000863AA"/>
    <w:rsid w:val="001757B2"/>
    <w:rsid w:val="00217E0A"/>
    <w:rsid w:val="00463D57"/>
    <w:rsid w:val="004C6DD8"/>
    <w:rsid w:val="004D71F7"/>
    <w:rsid w:val="0050495C"/>
    <w:rsid w:val="00534CCA"/>
    <w:rsid w:val="00566422"/>
    <w:rsid w:val="0064668E"/>
    <w:rsid w:val="006E30D5"/>
    <w:rsid w:val="0073771B"/>
    <w:rsid w:val="007B662B"/>
    <w:rsid w:val="00963F47"/>
    <w:rsid w:val="009D4BB4"/>
    <w:rsid w:val="00A10E4F"/>
    <w:rsid w:val="00A51A57"/>
    <w:rsid w:val="00AA4A61"/>
    <w:rsid w:val="00AD4651"/>
    <w:rsid w:val="00B42D15"/>
    <w:rsid w:val="00B83BE3"/>
    <w:rsid w:val="00C06E19"/>
    <w:rsid w:val="00C52205"/>
    <w:rsid w:val="00E04D85"/>
    <w:rsid w:val="00E95803"/>
    <w:rsid w:val="00F71A99"/>
    <w:rsid w:val="00FD133A"/>
    <w:rsid w:val="00FE6C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651548-E8C7-4BA1-AFC9-9E07C48F4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D4651"/>
    <w:pPr>
      <w:ind w:left="720"/>
      <w:contextualSpacing/>
    </w:pPr>
  </w:style>
  <w:style w:type="paragraph" w:styleId="Nagwek">
    <w:name w:val="header"/>
    <w:basedOn w:val="Normalny"/>
    <w:link w:val="NagwekZnak"/>
    <w:uiPriority w:val="99"/>
    <w:unhideWhenUsed/>
    <w:rsid w:val="00A51A5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51A57"/>
  </w:style>
  <w:style w:type="paragraph" w:styleId="Stopka">
    <w:name w:val="footer"/>
    <w:basedOn w:val="Normalny"/>
    <w:link w:val="StopkaZnak"/>
    <w:uiPriority w:val="99"/>
    <w:unhideWhenUsed/>
    <w:rsid w:val="00A51A5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51A57"/>
  </w:style>
  <w:style w:type="paragraph" w:styleId="Tekstdymka">
    <w:name w:val="Balloon Text"/>
    <w:basedOn w:val="Normalny"/>
    <w:link w:val="TekstdymkaZnak"/>
    <w:uiPriority w:val="99"/>
    <w:semiHidden/>
    <w:unhideWhenUsed/>
    <w:rsid w:val="00A51A5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51A57"/>
    <w:rPr>
      <w:rFonts w:ascii="Tahoma" w:hAnsi="Tahoma" w:cs="Tahoma"/>
      <w:sz w:val="16"/>
      <w:szCs w:val="16"/>
    </w:rPr>
  </w:style>
  <w:style w:type="character" w:styleId="Hipercze">
    <w:name w:val="Hyperlink"/>
    <w:basedOn w:val="Domylnaczcionkaakapitu"/>
    <w:uiPriority w:val="99"/>
    <w:unhideWhenUsed/>
    <w:rsid w:val="0050495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1020</Words>
  <Characters>6125</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7131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Mariusz</dc:creator>
  <cp:lastModifiedBy>Marcin Długosz</cp:lastModifiedBy>
  <cp:revision>6</cp:revision>
  <cp:lastPrinted>2020-03-05T11:13:00Z</cp:lastPrinted>
  <dcterms:created xsi:type="dcterms:W3CDTF">2020-03-05T11:08:00Z</dcterms:created>
  <dcterms:modified xsi:type="dcterms:W3CDTF">2020-03-05T11:17:00Z</dcterms:modified>
</cp:coreProperties>
</file>